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107315</wp:posOffset>
            </wp:positionV>
            <wp:extent cx="15944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June 17, 2026</w:t>
      </w:r>
    </w:p>
    <w:p>
      <w:pPr>
        <w:spacing w:after="0" w:line="2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AH REALTY TRUST,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00"/>
          </w:cols>
          <w:pgMar w:left="320" w:top="983" w:right="379" w:bottom="1440" w:gutter="0" w:footer="0" w:header="0"/>
        </w:sectPr>
      </w:pPr>
    </w:p>
    <w:p>
      <w:pPr>
        <w:spacing w:after="0" w:line="336"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jc w:val="center"/>
        <w:ind w:right="2020"/>
        <w:spacing w:after="0"/>
        <w:rPr>
          <w:sz w:val="20"/>
          <w:szCs w:val="20"/>
          <w:color w:val="auto"/>
        </w:rPr>
      </w:pPr>
      <w:r>
        <w:rPr>
          <w:rFonts w:ascii="Times New Roman" w:cs="Times New Roman" w:eastAsia="Times New Roman" w:hAnsi="Times New Roman"/>
          <w:sz w:val="17"/>
          <w:szCs w:val="17"/>
          <w:b w:val="1"/>
          <w:bCs w:val="1"/>
          <w:color w:val="auto"/>
        </w:rPr>
        <w:t>001-35908</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46-1214914</w:t>
      </w:r>
    </w:p>
    <w:p>
      <w:pPr>
        <w:spacing w:after="0" w:line="31" w:lineRule="exact"/>
        <w:rPr>
          <w:sz w:val="24"/>
          <w:szCs w:val="24"/>
          <w:color w:val="auto"/>
        </w:rPr>
      </w:pPr>
    </w:p>
    <w:p>
      <w:pPr>
        <w:sectPr>
          <w:pgSz w:w="11900" w:h="16838" w:orient="portrait"/>
          <w:cols w:equalWidth="0" w:num="3">
            <w:col w:w="4580" w:space="720"/>
            <w:col w:w="2800" w:space="720"/>
            <w:col w:w="2380"/>
          </w:cols>
          <w:pgMar w:left="320" w:top="983" w:right="37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840"/>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60" w:space="720"/>
            <w:col w:w="2640" w:space="720"/>
            <w:col w:w="3060"/>
          </w:cols>
          <w:pgMar w:left="320" w:top="983" w:right="379" w:bottom="1440" w:gutter="0" w:footer="0" w:header="0"/>
          <w:type w:val="continuous"/>
        </w:sectPr>
      </w:pPr>
    </w:p>
    <w:p>
      <w:pPr>
        <w:spacing w:after="0" w:line="269"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4605 Columbus St. ,</w:t>
      </w:r>
    </w:p>
    <w:p>
      <w:pPr>
        <w:spacing w:after="0" w:line="31"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Virginia Beach , Virginia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23462</w:t>
      </w:r>
    </w:p>
    <w:p>
      <w:pPr>
        <w:spacing w:after="0" w:line="43" w:lineRule="exact"/>
        <w:rPr>
          <w:sz w:val="24"/>
          <w:szCs w:val="24"/>
          <w:color w:val="auto"/>
        </w:rPr>
      </w:pPr>
    </w:p>
    <w:p>
      <w:pPr>
        <w:sectPr>
          <w:pgSz w:w="11900" w:h="16838" w:orient="portrait"/>
          <w:cols w:equalWidth="0" w:num="2">
            <w:col w:w="8260" w:space="720"/>
            <w:col w:w="2220"/>
          </w:cols>
          <w:pgMar w:left="320" w:top="983" w:right="379" w:bottom="1440" w:gutter="0" w:footer="0" w:header="0"/>
          <w:type w:val="continuous"/>
        </w:sectPr>
      </w:pPr>
    </w:p>
    <w:p>
      <w:pPr>
        <w:ind w:left="156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8120" w:space="720"/>
            <w:col w:w="2360"/>
          </w:cols>
          <w:pgMar w:left="320" w:top="983" w:right="379" w:bottom="1440" w:gutter="0" w:footer="0" w:header="0"/>
          <w:type w:val="continuous"/>
        </w:sectPr>
      </w:pPr>
    </w:p>
    <w:p>
      <w:pPr>
        <w:spacing w:after="0" w:line="1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(757) 366-4000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30" w:lineRule="exact"/>
        <w:rPr>
          <w:sz w:val="24"/>
          <w:szCs w:val="24"/>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3" w:lineRule="exact"/>
        <w:rPr>
          <w:sz w:val="24"/>
          <w:szCs w:val="24"/>
          <w:color w:val="auto"/>
        </w:rPr>
      </w:pPr>
    </w:p>
    <w:tbl>
      <w:tblPr>
        <w:tblLayout w:type="fixed"/>
        <w:tblInd w:w="60" w:type="dxa"/>
        <w:tblCellMar>
          <w:top w:w="0" w:type="dxa"/>
          <w:left w:w="0" w:type="dxa"/>
          <w:bottom w:w="0" w:type="dxa"/>
          <w:right w:w="0" w:type="dxa"/>
        </w:tblCellMar>
      </w:tblPr>
      <w:tr>
        <w:trPr>
          <w:trHeight w:val="190"/>
        </w:trPr>
        <w:tc>
          <w:tcPr>
            <w:tcW w:w="376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r>
      <w:tr>
        <w:trPr>
          <w:trHeight w:val="204"/>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100" w:type="dxa"/>
            <w:vAlign w:val="bottom"/>
          </w:tcPr>
          <w:p>
            <w:pPr>
              <w:spacing w:after="0"/>
              <w:rPr>
                <w:sz w:val="17"/>
                <w:szCs w:val="17"/>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AHRT</w:t>
            </w:r>
          </w:p>
        </w:tc>
        <w:tc>
          <w:tcPr>
            <w:tcW w:w="100" w:type="dxa"/>
            <w:vAlign w:val="bottom"/>
          </w:tcPr>
          <w:p>
            <w:pPr>
              <w:spacing w:after="0"/>
              <w:rPr>
                <w:sz w:val="17"/>
                <w:szCs w:val="17"/>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168"/>
        </w:trPr>
        <w:tc>
          <w:tcPr>
            <w:tcW w:w="3760" w:type="dxa"/>
            <w:vAlign w:val="bottom"/>
            <w:gridSpan w:val="2"/>
          </w:tcPr>
          <w:p>
            <w:pPr>
              <w:ind w:left="20"/>
              <w:spacing w:after="0" w:line="168" w:lineRule="exact"/>
              <w:rPr>
                <w:sz w:val="20"/>
                <w:szCs w:val="20"/>
                <w:color w:val="auto"/>
              </w:rPr>
            </w:pPr>
            <w:r>
              <w:rPr>
                <w:rFonts w:ascii="Times New Roman" w:cs="Times New Roman" w:eastAsia="Times New Roman" w:hAnsi="Times New Roman"/>
                <w:sz w:val="16"/>
                <w:szCs w:val="16"/>
                <w:color w:val="auto"/>
              </w:rPr>
              <w:t>6.75% Series A Cumulative Redeemable Perpetual</w:t>
            </w:r>
          </w:p>
        </w:tc>
        <w:tc>
          <w:tcPr>
            <w:tcW w:w="3660" w:type="dxa"/>
            <w:vAlign w:val="bottom"/>
            <w:gridSpan w:val="2"/>
          </w:tcPr>
          <w:p>
            <w:pPr>
              <w:jc w:val="center"/>
              <w:ind w:right="100"/>
              <w:spacing w:after="0" w:line="168" w:lineRule="exact"/>
              <w:rPr>
                <w:sz w:val="20"/>
                <w:szCs w:val="20"/>
                <w:color w:val="auto"/>
              </w:rPr>
            </w:pPr>
            <w:r>
              <w:rPr>
                <w:rFonts w:ascii="Times New Roman" w:cs="Times New Roman" w:eastAsia="Times New Roman" w:hAnsi="Times New Roman"/>
                <w:sz w:val="16"/>
                <w:szCs w:val="16"/>
                <w:color w:val="auto"/>
                <w:w w:val="98"/>
              </w:rPr>
              <w:t>AHRTPrA</w:t>
            </w:r>
          </w:p>
        </w:tc>
        <w:tc>
          <w:tcPr>
            <w:tcW w:w="372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auto"/>
              </w:rPr>
              <w:t>New York Stock Exchange</w:t>
            </w:r>
          </w:p>
        </w:tc>
      </w:tr>
      <w:tr>
        <w:trPr>
          <w:trHeight w:val="21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per share</w:t>
            </w: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Pr>
          <w:p>
            <w:pPr>
              <w:spacing w:after="0"/>
              <w:rPr>
                <w:sz w:val="18"/>
                <w:szCs w:val="18"/>
                <w:color w:val="auto"/>
              </w:rPr>
            </w:pPr>
          </w:p>
        </w:tc>
      </w:tr>
    </w:tbl>
    <w:p>
      <w:pPr>
        <w:spacing w:after="0" w:line="2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3"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43"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On June 17, 2026, AH Realty Trust, Inc. (the “Company”) held its 2026 Annual Meeting of Stockholders (the “Annual Meeting”). The Company’s stockholders voted on three proposals presented at the Annual Meeting, which are described in detail in the Company’s Definitive Proxy Statement on Schedule 14A, filed with the Securities and Exchange Commission on April 30, 2026 (the “Proxy Statement”). Holders of 62,927,190 shares of the Company’s common stock, $0.01 par value (the “Common Stock”), were present or represented by proxy at the Annual Meeting.</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the voting results of the proposals submitted to the Company’s stockholders at the Annual Meeting:</w:t>
      </w:r>
    </w:p>
    <w:p>
      <w:pPr>
        <w:spacing w:after="0" w:line="235"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Proposal 1 (Election of Directors) </w:t>
      </w:r>
      <w:r>
        <w:rPr>
          <w:rFonts w:ascii="Times New Roman" w:cs="Times New Roman" w:eastAsia="Times New Roman" w:hAnsi="Times New Roman"/>
          <w:sz w:val="18"/>
          <w:szCs w:val="18"/>
          <w:color w:val="auto"/>
        </w:rPr>
        <w:t>— The Company’s stockholders elected the following nine persons as directors of the Company, each to serve as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the Company’s annual meeting of stockholders to be held in 2027, or until his or her respective successor is duly elected and qualified. The following table sets forth the voting results for each director nominee: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8"/>
        </w:trPr>
        <w:tc>
          <w:tcPr>
            <w:tcW w:w="2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Theodore R. Bigman</w:t>
            </w:r>
          </w:p>
        </w:tc>
        <w:tc>
          <w:tcPr>
            <w:tcW w:w="8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44,610,529</w:t>
            </w:r>
          </w:p>
        </w:tc>
        <w:tc>
          <w:tcPr>
            <w:tcW w:w="10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2,098,434</w:t>
            </w:r>
          </w:p>
        </w:tc>
        <w:tc>
          <w:tcPr>
            <w:tcW w:w="10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125,255</w:t>
            </w:r>
          </w:p>
        </w:tc>
        <w:tc>
          <w:tcPr>
            <w:tcW w:w="80" w:type="dxa"/>
            <w:vAlign w:val="bottom"/>
          </w:tcPr>
          <w:p>
            <w:pPr>
              <w:spacing w:after="0"/>
              <w:rPr>
                <w:sz w:val="18"/>
                <w:szCs w:val="18"/>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16,092,972</w:t>
            </w:r>
          </w:p>
        </w:tc>
      </w:tr>
      <w:tr>
        <w:trPr>
          <w:trHeight w:val="229"/>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Jennifer R. Boykin</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44,064,024</w:t>
            </w:r>
          </w:p>
        </w:tc>
        <w:tc>
          <w:tcPr>
            <w:tcW w:w="10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2,704,352</w:t>
            </w:r>
          </w:p>
        </w:tc>
        <w:tc>
          <w:tcPr>
            <w:tcW w:w="10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65,842</w:t>
            </w:r>
          </w:p>
        </w:tc>
        <w:tc>
          <w:tcPr>
            <w:tcW w:w="8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16,092,972</w:t>
            </w:r>
          </w:p>
        </w:tc>
      </w:tr>
      <w:tr>
        <w:trPr>
          <w:trHeight w:val="257"/>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A. Carroll</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44,303,870</w:t>
            </w:r>
          </w:p>
        </w:tc>
        <w:tc>
          <w:tcPr>
            <w:tcW w:w="10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2,478,760</w:t>
            </w:r>
          </w:p>
        </w:tc>
        <w:tc>
          <w:tcPr>
            <w:tcW w:w="10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51,588</w:t>
            </w:r>
          </w:p>
        </w:tc>
        <w:tc>
          <w:tcPr>
            <w:tcW w:w="8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16,092,972</w:t>
            </w:r>
          </w:p>
        </w:tc>
      </w:tr>
      <w:tr>
        <w:trPr>
          <w:trHeight w:val="257"/>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C. Cherry</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40,453,492</w:t>
            </w:r>
          </w:p>
        </w:tc>
        <w:tc>
          <w:tcPr>
            <w:tcW w:w="10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6,326,369</w:t>
            </w:r>
          </w:p>
        </w:tc>
        <w:tc>
          <w:tcPr>
            <w:tcW w:w="10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54,357</w:t>
            </w:r>
          </w:p>
        </w:tc>
        <w:tc>
          <w:tcPr>
            <w:tcW w:w="8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16,092,972</w:t>
            </w:r>
          </w:p>
        </w:tc>
      </w:tr>
      <w:tr>
        <w:trPr>
          <w:trHeight w:val="257"/>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Louis S. Haddad</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40,947,623</w:t>
            </w:r>
          </w:p>
        </w:tc>
        <w:tc>
          <w:tcPr>
            <w:tcW w:w="10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5,833,023</w:t>
            </w:r>
          </w:p>
        </w:tc>
        <w:tc>
          <w:tcPr>
            <w:tcW w:w="10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53,572</w:t>
            </w:r>
          </w:p>
        </w:tc>
        <w:tc>
          <w:tcPr>
            <w:tcW w:w="8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16,092,972</w:t>
            </w:r>
          </w:p>
        </w:tc>
      </w:tr>
      <w:tr>
        <w:trPr>
          <w:trHeight w:val="25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Daniel A. Hoffler</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40,921,186</w:t>
            </w:r>
          </w:p>
        </w:tc>
        <w:tc>
          <w:tcPr>
            <w:tcW w:w="10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5,847,826</w:t>
            </w:r>
          </w:p>
        </w:tc>
        <w:tc>
          <w:tcPr>
            <w:tcW w:w="10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65,206</w:t>
            </w:r>
          </w:p>
        </w:tc>
        <w:tc>
          <w:tcPr>
            <w:tcW w:w="8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16,092,972</w:t>
            </w:r>
          </w:p>
        </w:tc>
      </w:tr>
      <w:tr>
        <w:trPr>
          <w:trHeight w:val="257"/>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Shawn J. Tibbetts</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44,042,891</w:t>
            </w:r>
          </w:p>
        </w:tc>
        <w:tc>
          <w:tcPr>
            <w:tcW w:w="10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2,740,098</w:t>
            </w:r>
          </w:p>
        </w:tc>
        <w:tc>
          <w:tcPr>
            <w:tcW w:w="10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51,229</w:t>
            </w:r>
          </w:p>
        </w:tc>
        <w:tc>
          <w:tcPr>
            <w:tcW w:w="8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16,092,972</w:t>
            </w:r>
          </w:p>
        </w:tc>
      </w:tr>
      <w:tr>
        <w:trPr>
          <w:trHeight w:val="257"/>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 Blair Wimbush</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42,823,422</w:t>
            </w:r>
          </w:p>
        </w:tc>
        <w:tc>
          <w:tcPr>
            <w:tcW w:w="10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3,939,995</w:t>
            </w:r>
          </w:p>
        </w:tc>
        <w:tc>
          <w:tcPr>
            <w:tcW w:w="10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70,801</w:t>
            </w:r>
          </w:p>
        </w:tc>
        <w:tc>
          <w:tcPr>
            <w:tcW w:w="8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16,092,972</w:t>
            </w:r>
          </w:p>
        </w:tc>
      </w:tr>
      <w:tr>
        <w:trPr>
          <w:trHeight w:val="261"/>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Lori B. Wittman</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44,533,604</w:t>
            </w:r>
          </w:p>
        </w:tc>
        <w:tc>
          <w:tcPr>
            <w:tcW w:w="10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2,176,070</w:t>
            </w:r>
          </w:p>
        </w:tc>
        <w:tc>
          <w:tcPr>
            <w:tcW w:w="10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124,544</w:t>
            </w:r>
          </w:p>
        </w:tc>
        <w:tc>
          <w:tcPr>
            <w:tcW w:w="80" w:type="dxa"/>
            <w:vAlign w:val="bottom"/>
          </w:tcPr>
          <w:p>
            <w:pPr>
              <w:spacing w:after="0"/>
              <w:rPr>
                <w:sz w:val="22"/>
                <w:szCs w:val="22"/>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16,092,972</w:t>
            </w:r>
          </w:p>
        </w:tc>
      </w:tr>
    </w:tbl>
    <w:p>
      <w:pPr>
        <w:spacing w:after="0" w:line="288" w:lineRule="exact"/>
        <w:rPr>
          <w:sz w:val="20"/>
          <w:szCs w:val="20"/>
          <w:color w:val="auto"/>
        </w:rPr>
      </w:pPr>
    </w:p>
    <w:p>
      <w:pPr>
        <w:ind w:right="40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Proposal 2 (Ratification of KPMG LLP) </w:t>
      </w:r>
      <w:r>
        <w:rPr>
          <w:rFonts w:ascii="Times New Roman" w:cs="Times New Roman" w:eastAsia="Times New Roman" w:hAnsi="Times New Roman"/>
          <w:sz w:val="18"/>
          <w:szCs w:val="18"/>
          <w:color w:val="auto"/>
        </w:rPr>
        <w:t>— The Company’s stockholders approved the proposal to ratify the appointment of KPMG LLP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independent registered public accounting firm for the Company’s fiscal year ending December 31, 2026. The following table sets forth the voting results for this proposal:</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r>
      <w:tr>
        <w:trPr>
          <w:trHeight w:val="228"/>
        </w:trPr>
        <w:tc>
          <w:tcPr>
            <w:tcW w:w="288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57,172,251</w:t>
            </w:r>
          </w:p>
        </w:tc>
        <w:tc>
          <w:tcPr>
            <w:tcW w:w="100" w:type="dxa"/>
            <w:vAlign w:val="bottom"/>
          </w:tcPr>
          <w:p>
            <w:pPr>
              <w:spacing w:after="0"/>
              <w:rPr>
                <w:sz w:val="19"/>
                <w:szCs w:val="19"/>
                <w:color w:val="auto"/>
              </w:rPr>
            </w:pPr>
          </w:p>
        </w:tc>
        <w:tc>
          <w:tcPr>
            <w:tcW w:w="2840" w:type="dxa"/>
            <w:vAlign w:val="bottom"/>
            <w:tcBorders>
              <w:top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5,665,661</w:t>
            </w:r>
          </w:p>
        </w:tc>
        <w:tc>
          <w:tcPr>
            <w:tcW w:w="100" w:type="dxa"/>
            <w:vAlign w:val="bottom"/>
          </w:tcPr>
          <w:p>
            <w:pPr>
              <w:spacing w:after="0"/>
              <w:rPr>
                <w:sz w:val="19"/>
                <w:szCs w:val="19"/>
                <w:color w:val="auto"/>
              </w:rPr>
            </w:pPr>
          </w:p>
        </w:tc>
        <w:tc>
          <w:tcPr>
            <w:tcW w:w="2900" w:type="dxa"/>
            <w:vAlign w:val="bottom"/>
            <w:tcBorders>
              <w:top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89,278</w:t>
            </w:r>
          </w:p>
        </w:tc>
      </w:tr>
    </w:tbl>
    <w:p>
      <w:pPr>
        <w:spacing w:after="0" w:line="324"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7"/>
          <w:szCs w:val="17"/>
          <w:b w:val="1"/>
          <w:bCs w:val="1"/>
          <w:color w:val="auto"/>
        </w:rPr>
        <w:t xml:space="preserve">Proposal 3 (Advisory Vote on Executive Compensation) </w:t>
      </w:r>
      <w:r>
        <w:rPr>
          <w:rFonts w:ascii="Times New Roman" w:cs="Times New Roman" w:eastAsia="Times New Roman" w:hAnsi="Times New Roman"/>
          <w:sz w:val="17"/>
          <w:szCs w:val="17"/>
          <w:color w:val="auto"/>
        </w:rPr>
        <w:t>— The Company’s stockholders approved, in an advisory (non-binding) vote, the compensation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Company’s named executive officers as disclosed in the Proxy Statement. The following table sets forth the voting results for this proposal: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3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0"/>
        </w:trPr>
        <w:tc>
          <w:tcPr>
            <w:tcW w:w="2860" w:type="dxa"/>
            <w:vAlign w:val="bottom"/>
            <w:tcBorders>
              <w:top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41,684,017</w:t>
            </w:r>
          </w:p>
        </w:tc>
        <w:tc>
          <w:tcPr>
            <w:tcW w:w="100" w:type="dxa"/>
            <w:vAlign w:val="bottom"/>
          </w:tcPr>
          <w:p>
            <w:pPr>
              <w:spacing w:after="0"/>
              <w:rPr>
                <w:sz w:val="21"/>
                <w:szCs w:val="21"/>
                <w:color w:val="auto"/>
              </w:rPr>
            </w:pPr>
          </w:p>
        </w:tc>
        <w:tc>
          <w:tcPr>
            <w:tcW w:w="2900" w:type="dxa"/>
            <w:vAlign w:val="bottom"/>
            <w:tcBorders>
              <w:top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4,811,520</w:t>
            </w:r>
          </w:p>
        </w:tc>
        <w:tc>
          <w:tcPr>
            <w:tcW w:w="80" w:type="dxa"/>
            <w:vAlign w:val="bottom"/>
          </w:tcPr>
          <w:p>
            <w:pPr>
              <w:spacing w:after="0"/>
              <w:rPr>
                <w:sz w:val="21"/>
                <w:szCs w:val="21"/>
                <w:color w:val="auto"/>
              </w:rPr>
            </w:pPr>
          </w:p>
        </w:tc>
        <w:tc>
          <w:tcPr>
            <w:tcW w:w="2900" w:type="dxa"/>
            <w:vAlign w:val="bottom"/>
            <w:tcBorders>
              <w:top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338,681</w:t>
            </w:r>
          </w:p>
        </w:tc>
        <w:tc>
          <w:tcPr>
            <w:tcW w:w="100" w:type="dxa"/>
            <w:vAlign w:val="bottom"/>
          </w:tcPr>
          <w:p>
            <w:pPr>
              <w:spacing w:after="0"/>
              <w:rPr>
                <w:sz w:val="21"/>
                <w:szCs w:val="21"/>
                <w:color w:val="auto"/>
              </w:rPr>
            </w:pPr>
          </w:p>
        </w:tc>
        <w:tc>
          <w:tcPr>
            <w:tcW w:w="230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16,092,972</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1240"/>
          </w:cols>
          <w:pgMar w:left="320" w:top="914" w:right="339" w:bottom="1440" w:gutter="0" w:footer="0" w:header="0"/>
        </w:sect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jc w:val="center"/>
        <w:ind w:right="488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47" w:lineRule="exact"/>
        <w:rPr>
          <w:sz w:val="20"/>
          <w:szCs w:val="20"/>
          <w:color w:val="auto"/>
        </w:rPr>
      </w:pPr>
    </w:p>
    <w:p>
      <w:pPr>
        <w:sectPr>
          <w:pgSz w:w="11900" w:h="16838" w:orient="portrait"/>
          <w:cols w:equalWidth="0" w:num="2">
            <w:col w:w="4920" w:space="720"/>
            <w:col w:w="5600"/>
          </w:cols>
          <w:pgMar w:left="320" w:top="914" w:right="339" w:bottom="1440" w:gutter="0" w:footer="0" w:header="0"/>
          <w:type w:val="continuous"/>
        </w:sectPr>
      </w:pPr>
    </w:p>
    <w:p>
      <w:pPr>
        <w:ind w:left="20"/>
        <w:spacing w:after="0"/>
        <w:tabs>
          <w:tab w:leader="none" w:pos="76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800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AH REALTY TRUST, INC.</w:t>
            </w:r>
          </w:p>
        </w:tc>
      </w:tr>
      <w:tr>
        <w:trPr>
          <w:trHeight w:val="45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8000" w:type="dxa"/>
            <w:vAlign w:val="bottom"/>
            <w:gridSpan w:val="2"/>
          </w:tcPr>
          <w:p>
            <w:pPr>
              <w:ind w:left="2280"/>
              <w:spacing w:after="0"/>
              <w:rPr>
                <w:sz w:val="20"/>
                <w:szCs w:val="20"/>
                <w:color w:val="auto"/>
              </w:rPr>
            </w:pPr>
            <w:r>
              <w:rPr>
                <w:rFonts w:ascii="Times New Roman" w:cs="Times New Roman" w:eastAsia="Times New Roman" w:hAnsi="Times New Roman"/>
                <w:sz w:val="18"/>
                <w:szCs w:val="18"/>
                <w:color w:val="auto"/>
              </w:rPr>
              <w:t>By: /s/ Matthew Barnes-Smith</w:t>
            </w:r>
          </w:p>
        </w:tc>
      </w:tr>
      <w:tr>
        <w:trPr>
          <w:trHeight w:val="218"/>
        </w:trPr>
        <w:tc>
          <w:tcPr>
            <w:tcW w:w="32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Matthew Barnes-Smith</w:t>
            </w:r>
          </w:p>
        </w:tc>
      </w:tr>
      <w:tr>
        <w:trPr>
          <w:trHeight w:val="234"/>
        </w:trPr>
        <w:tc>
          <w:tcPr>
            <w:tcW w:w="32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2026-06-22T16:44:32Z</dcterms:created>
  <dcterms:modified xsi:type="dcterms:W3CDTF">2026-06-22T16:44:32Z</dcterms:modified>
</cp:coreProperties>
</file>