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00240" cy="5163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5163185"/>
                    </a:xfrm>
                    <a:prstGeom prst="rect">
                      <a:avLst/>
                    </a:prstGeom>
                    <a:noFill/>
                  </pic:spPr>
                </pic:pic>
              </a:graphicData>
            </a:graphic>
          </wp:anchor>
        </w:drawing>
      </w:r>
    </w:p>
    <w:p>
      <w:pPr>
        <w:spacing w:after="0" w:line="1060" w:lineRule="exact"/>
        <w:rPr>
          <w:sz w:val="24"/>
          <w:szCs w:val="24"/>
          <w:color w:val="auto"/>
        </w:rPr>
      </w:pPr>
    </w:p>
    <w:p>
      <w:pPr>
        <w:sectPr>
          <w:pgSz w:w="11900" w:h="16838" w:orient="portrait"/>
          <w:cols w:equalWidth="0" w:num="2">
            <w:col w:w="2280" w:space="440"/>
            <w:col w:w="8360"/>
          </w:cols>
          <w:pgMar w:left="460" w:top="212"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Hoffler Daniel A</w:t>
        </w:r>
      </w:hyperlink>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2"/>
                <w:szCs w:val="12"/>
                <w:color w:val="auto"/>
              </w:rPr>
              <w:t>(Last)</w:t>
            </w:r>
          </w:p>
        </w:tc>
        <w:tc>
          <w:tcPr>
            <w:tcW w:w="1320" w:type="dxa"/>
            <w:vAlign w:val="bottom"/>
          </w:tcPr>
          <w:p>
            <w:pPr>
              <w:ind w:left="260"/>
              <w:spacing w:after="0"/>
              <w:rPr>
                <w:sz w:val="20"/>
                <w:szCs w:val="20"/>
                <w:color w:val="auto"/>
              </w:rPr>
            </w:pPr>
            <w:r>
              <w:rPr>
                <w:rFonts w:ascii="Arial" w:cs="Arial" w:eastAsia="Arial" w:hAnsi="Arial"/>
                <w:sz w:val="12"/>
                <w:szCs w:val="12"/>
                <w:color w:val="auto"/>
              </w:rPr>
              <w:t>(First)</w:t>
            </w:r>
          </w:p>
        </w:tc>
        <w:tc>
          <w:tcPr>
            <w:tcW w:w="600" w:type="dxa"/>
            <w:vAlign w:val="bottom"/>
          </w:tcPr>
          <w:p>
            <w:pPr>
              <w:ind w:left="160"/>
              <w:spacing w:after="0"/>
              <w:rPr>
                <w:sz w:val="20"/>
                <w:szCs w:val="20"/>
                <w:color w:val="auto"/>
              </w:rPr>
            </w:pPr>
            <w:r>
              <w:rPr>
                <w:rFonts w:ascii="Arial" w:cs="Arial" w:eastAsia="Arial" w:hAnsi="Arial"/>
                <w:sz w:val="12"/>
                <w:szCs w:val="12"/>
                <w:color w:val="auto"/>
                <w:w w:val="96"/>
              </w:rPr>
              <w:t>(Middle)</w:t>
            </w:r>
          </w:p>
        </w:tc>
        <w:tc>
          <w:tcPr>
            <w:tcW w:w="0" w:type="dxa"/>
            <w:vAlign w:val="bottom"/>
          </w:tcPr>
          <w:p>
            <w:pPr>
              <w:spacing w:after="0"/>
              <w:rPr>
                <w:sz w:val="1"/>
                <w:szCs w:val="1"/>
                <w:color w:val="auto"/>
              </w:rPr>
            </w:pPr>
          </w:p>
        </w:tc>
      </w:tr>
      <w:tr>
        <w:trPr>
          <w:trHeight w:val="25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AH REALTY TRUST, INC.</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4605 COLUMBUS STREET</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1000" w:type="dxa"/>
            <w:vAlign w:val="bottom"/>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VIRGINIA</w:t>
            </w: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VA</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23462</w:t>
            </w:r>
          </w:p>
        </w:tc>
        <w:tc>
          <w:tcPr>
            <w:tcW w:w="0" w:type="dxa"/>
            <w:vAlign w:val="bottom"/>
          </w:tcPr>
          <w:p>
            <w:pPr>
              <w:spacing w:after="0"/>
              <w:rPr>
                <w:sz w:val="1"/>
                <w:szCs w:val="1"/>
                <w:color w:val="auto"/>
              </w:rPr>
            </w:pPr>
          </w:p>
        </w:tc>
      </w:tr>
      <w:tr>
        <w:trPr>
          <w:trHeight w:val="110"/>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BEACH</w:t>
            </w:r>
          </w:p>
        </w:tc>
        <w:tc>
          <w:tcPr>
            <w:tcW w:w="13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AH Realty Trust,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AHRT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820" w:type="dxa"/>
            <w:vAlign w:val="bottom"/>
          </w:tcPr>
          <w:p>
            <w:pPr>
              <w:ind w:left="580"/>
              <w:spacing w:after="0" w:line="103" w:lineRule="exact"/>
              <w:rPr>
                <w:sz w:val="20"/>
                <w:szCs w:val="20"/>
                <w:color w:val="auto"/>
              </w:rPr>
            </w:pPr>
            <w:r>
              <w:rPr>
                <w:rFonts w:ascii="Arial" w:cs="Arial" w:eastAsia="Arial" w:hAnsi="Arial"/>
                <w:sz w:val="11"/>
                <w:szCs w:val="11"/>
                <w:color w:val="auto"/>
              </w:rPr>
              <w:t>below)</w:t>
            </w:r>
          </w:p>
        </w:tc>
        <w:tc>
          <w:tcPr>
            <w:tcW w:w="1480" w:type="dxa"/>
            <w:vAlign w:val="bottom"/>
          </w:tcPr>
          <w:p>
            <w:pPr>
              <w:ind w:left="340"/>
              <w:spacing w:after="0" w:line="103"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7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01/02/2025</w:t>
            </w:r>
          </w:p>
        </w:tc>
        <w:tc>
          <w:tcPr>
            <w:tcW w:w="2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20" w:space="720"/>
            <w:col w:w="7240"/>
          </w:cols>
          <w:pgMar w:left="460" w:top="212" w:right="359" w:bottom="1440" w:gutter="0" w:footer="0" w:header="0"/>
          <w:type w:val="continuous"/>
        </w:sectPr>
      </w:pPr>
    </w:p>
    <w:p>
      <w:pPr>
        <w:spacing w:after="0" w:line="80"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jc w:val="right"/>
              <w:ind w:right="385"/>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9"/>
              </w:rPr>
              <w:t>Execution Date,</w:t>
            </w:r>
          </w:p>
        </w:tc>
        <w:tc>
          <w:tcPr>
            <w:tcW w:w="120" w:type="dxa"/>
            <w:vAlign w:val="bottom"/>
          </w:tcPr>
          <w:p>
            <w:pPr>
              <w:spacing w:after="0"/>
              <w:rPr>
                <w:sz w:val="10"/>
                <w:szCs w:val="10"/>
                <w:color w:val="auto"/>
              </w:rPr>
            </w:pPr>
          </w:p>
        </w:tc>
        <w:tc>
          <w:tcPr>
            <w:tcW w:w="260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10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3"/>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6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266,647</w:t>
            </w:r>
          </w:p>
        </w:tc>
        <w:tc>
          <w:tcPr>
            <w:tcW w:w="260" w:type="dxa"/>
            <w:vAlign w:val="bottom"/>
          </w:tcPr>
          <w:p>
            <w:pPr>
              <w:spacing w:after="0"/>
              <w:rPr>
                <w:sz w:val="21"/>
                <w:szCs w:val="21"/>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6.75% Series A Preferred Stock</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gridSpan w:val="3"/>
          </w:tcPr>
          <w:p>
            <w:pPr>
              <w:jc w:val="right"/>
              <w:ind w:right="383"/>
              <w:spacing w:after="0"/>
              <w:rPr>
                <w:sz w:val="20"/>
                <w:szCs w:val="20"/>
                <w:color w:val="auto"/>
              </w:rPr>
            </w:pPr>
            <w:r>
              <w:rPr>
                <w:rFonts w:ascii="Times New Roman" w:cs="Times New Roman" w:eastAsia="Times New Roman" w:hAnsi="Times New Roman"/>
                <w:sz w:val="16"/>
                <w:szCs w:val="16"/>
                <w:color w:val="0000FF"/>
              </w:rPr>
              <w:t>4,000</w:t>
            </w:r>
          </w:p>
        </w:tc>
        <w:tc>
          <w:tcPr>
            <w:tcW w:w="260" w:type="dxa"/>
            <w:vAlign w:val="bottom"/>
          </w:tcPr>
          <w:p>
            <w:pPr>
              <w:spacing w:after="0"/>
              <w:rPr>
                <w:sz w:val="21"/>
                <w:szCs w:val="21"/>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8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24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4 and 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restart"/>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7"/>
              <w:spacing w:after="0" w:line="123"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w w:val="91"/>
              </w:rPr>
              <w:t>(A)</w:t>
            </w:r>
          </w:p>
        </w:tc>
        <w:tc>
          <w:tcPr>
            <w:tcW w:w="600" w:type="dxa"/>
            <w:vAlign w:val="bottom"/>
          </w:tcPr>
          <w:p>
            <w:pPr>
              <w:ind w:left="42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01/02/2025</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rPr>
              <w:t>J</w:t>
            </w:r>
          </w:p>
        </w:tc>
        <w:tc>
          <w:tcPr>
            <w:tcW w:w="220" w:type="dxa"/>
            <w:vAlign w:val="bottom"/>
          </w:tcPr>
          <w:p>
            <w:pPr>
              <w:spacing w:after="0"/>
              <w:rPr>
                <w:sz w:val="14"/>
                <w:szCs w:val="14"/>
                <w:color w:val="auto"/>
              </w:rPr>
            </w:pP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w w:val="88"/>
              </w:rPr>
              <w:t>279</w:t>
            </w:r>
          </w:p>
        </w:tc>
        <w:tc>
          <w:tcPr>
            <w:tcW w:w="240" w:type="dxa"/>
            <w:vAlign w:val="bottom"/>
            <w:vMerge w:val="restart"/>
          </w:tcPr>
          <w:p>
            <w:pPr>
              <w:jc w:val="right"/>
              <w:ind w:right="69"/>
              <w:spacing w:after="0"/>
              <w:rPr>
                <w:sz w:val="20"/>
                <w:szCs w:val="20"/>
                <w:color w:val="auto"/>
              </w:rPr>
            </w:pPr>
            <w:r>
              <w:rPr>
                <w:rFonts w:ascii="Times New Roman" w:cs="Times New Roman" w:eastAsia="Times New Roman" w:hAnsi="Times New Roman"/>
                <w:sz w:val="10"/>
                <w:szCs w:val="10"/>
                <w:color w:val="008000"/>
                <w:w w:val="85"/>
              </w:rPr>
              <w:t>(3)</w:t>
            </w:r>
          </w:p>
        </w:tc>
        <w:tc>
          <w:tcPr>
            <w:tcW w:w="720" w:type="dxa"/>
            <w:vAlign w:val="bottom"/>
            <w:gridSpan w:val="2"/>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center"/>
              <w:ind w:right="7"/>
              <w:spacing w:after="0"/>
              <w:rPr>
                <w:sz w:val="20"/>
                <w:szCs w:val="20"/>
                <w:color w:val="auto"/>
              </w:rPr>
            </w:pPr>
            <w:r>
              <w:rPr>
                <w:rFonts w:ascii="Times New Roman" w:cs="Times New Roman" w:eastAsia="Times New Roman" w:hAnsi="Times New Roman"/>
                <w:sz w:val="10"/>
                <w:szCs w:val="10"/>
                <w:color w:val="008000"/>
                <w:w w:val="94"/>
              </w:rPr>
              <w:t>(1)(2)</w:t>
            </w:r>
          </w:p>
        </w:tc>
        <w:tc>
          <w:tcPr>
            <w:tcW w:w="56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4"/>
                <w:szCs w:val="14"/>
                <w:color w:val="auto"/>
              </w:rPr>
            </w:pPr>
          </w:p>
        </w:tc>
        <w:tc>
          <w:tcPr>
            <w:tcW w:w="64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99"/>
              </w:rPr>
              <w:t>279</w:t>
            </w:r>
          </w:p>
        </w:tc>
        <w:tc>
          <w:tcPr>
            <w:tcW w:w="700" w:type="dxa"/>
            <w:vAlign w:val="bottom"/>
            <w:gridSpan w:val="2"/>
            <w:vMerge w:val="restart"/>
          </w:tcPr>
          <w:p>
            <w:pPr>
              <w:jc w:val="center"/>
              <w:ind w:right="12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10.27</w:t>
            </w:r>
          </w:p>
        </w:tc>
        <w:tc>
          <w:tcPr>
            <w:tcW w:w="580" w:type="dxa"/>
            <w:vAlign w:val="bottom"/>
            <w:vMerge w:val="restart"/>
          </w:tcPr>
          <w:p>
            <w:pPr>
              <w:jc w:val="center"/>
              <w:ind w:left="143"/>
              <w:spacing w:after="0"/>
              <w:rPr>
                <w:sz w:val="20"/>
                <w:szCs w:val="20"/>
                <w:color w:val="auto"/>
              </w:rPr>
            </w:pPr>
            <w:r>
              <w:rPr>
                <w:rFonts w:ascii="Times New Roman" w:cs="Times New Roman" w:eastAsia="Times New Roman" w:hAnsi="Times New Roman"/>
                <w:sz w:val="12"/>
                <w:szCs w:val="12"/>
                <w:color w:val="0000FF"/>
                <w:w w:val="99"/>
              </w:rPr>
              <w:t>0</w:t>
            </w:r>
          </w:p>
        </w:tc>
        <w:tc>
          <w:tcPr>
            <w:tcW w:w="260" w:type="dxa"/>
            <w:vAlign w:val="bottom"/>
          </w:tcPr>
          <w:p>
            <w:pPr>
              <w:spacing w:after="0"/>
              <w:rPr>
                <w:sz w:val="14"/>
                <w:szCs w:val="14"/>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Limited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40" w:type="dxa"/>
            <w:vAlign w:val="bottom"/>
            <w:tcBorders>
              <w:right w:val="single" w:sz="8" w:color="2C2C2C"/>
            </w:tcBorders>
            <w:gridSpan w:val="3"/>
            <w:vMerge w:val="restart"/>
          </w:tcPr>
          <w:p>
            <w:pPr>
              <w:ind w:left="80"/>
              <w:spacing w:after="0" w:line="221" w:lineRule="exact"/>
              <w:rPr>
                <w:sz w:val="20"/>
                <w:szCs w:val="20"/>
                <w:color w:val="auto"/>
              </w:rPr>
            </w:pPr>
            <w:r>
              <w:rPr>
                <w:rFonts w:ascii="Times New Roman" w:cs="Times New Roman" w:eastAsia="Times New Roman" w:hAnsi="Times New Roman"/>
                <w:sz w:val="12"/>
                <w:szCs w:val="12"/>
                <w:color w:val="0000FF"/>
              </w:rPr>
              <w:t>Partnership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 w:type="dxa"/>
            <w:vAlign w:val="bottom"/>
            <w:tcBorders>
              <w:bottom w:val="single" w:sz="8" w:color="2C2C2C"/>
            </w:tcBorders>
            <w:vMerge w:val="continue"/>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vMerge w:val="continue"/>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vMerge w:val="continue"/>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vMerge w:val="continue"/>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Time-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Based</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(2)(5)</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06/17/2026</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rPr>
              <w:t>A</w:t>
            </w: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11,695</w:t>
            </w:r>
            <w:r>
              <w:rPr>
                <w:rFonts w:ascii="Times New Roman" w:cs="Times New Roman" w:eastAsia="Times New Roman" w:hAnsi="Times New Roman"/>
                <w:sz w:val="20"/>
                <w:szCs w:val="20"/>
                <w:color w:val="008000"/>
                <w:vertAlign w:val="superscript"/>
              </w:rPr>
              <w:t>(6)</w:t>
            </w:r>
          </w:p>
        </w:tc>
        <w:tc>
          <w:tcPr>
            <w:tcW w:w="240" w:type="dxa"/>
            <w:vAlign w:val="bottom"/>
          </w:tcPr>
          <w:p>
            <w:pPr>
              <w:spacing w:after="0"/>
              <w:rPr>
                <w:sz w:val="11"/>
                <w:szCs w:val="11"/>
                <w:color w:val="auto"/>
              </w:rPr>
            </w:pPr>
          </w:p>
        </w:tc>
        <w:tc>
          <w:tcPr>
            <w:tcW w:w="720" w:type="dxa"/>
            <w:vAlign w:val="bottom"/>
            <w:gridSpan w:val="2"/>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(2)(5)</w:t>
            </w:r>
          </w:p>
        </w:tc>
        <w:tc>
          <w:tcPr>
            <w:tcW w:w="680" w:type="dxa"/>
            <w:vAlign w:val="bottom"/>
            <w:vMerge w:val="restart"/>
          </w:tcPr>
          <w:p>
            <w:pPr>
              <w:jc w:val="center"/>
              <w:ind w:right="7"/>
              <w:spacing w:after="0"/>
              <w:rPr>
                <w:sz w:val="20"/>
                <w:szCs w:val="20"/>
                <w:color w:val="auto"/>
              </w:rPr>
            </w:pPr>
            <w:r>
              <w:rPr>
                <w:rFonts w:ascii="Times New Roman" w:cs="Times New Roman" w:eastAsia="Times New Roman" w:hAnsi="Times New Roman"/>
                <w:sz w:val="10"/>
                <w:szCs w:val="10"/>
                <w:color w:val="008000"/>
                <w:w w:val="94"/>
              </w:rPr>
              <w:t>(2)(5)</w:t>
            </w:r>
          </w:p>
        </w:tc>
        <w:tc>
          <w:tcPr>
            <w:tcW w:w="56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1"/>
                <w:szCs w:val="11"/>
                <w:color w:val="auto"/>
              </w:rPr>
            </w:pPr>
          </w:p>
        </w:tc>
        <w:tc>
          <w:tcPr>
            <w:tcW w:w="64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99"/>
              </w:rPr>
              <w:t>11,695</w:t>
            </w:r>
          </w:p>
        </w:tc>
        <w:tc>
          <w:tcPr>
            <w:tcW w:w="700" w:type="dxa"/>
            <w:vAlign w:val="bottom"/>
            <w:gridSpan w:val="2"/>
            <w:vMerge w:val="restart"/>
          </w:tcPr>
          <w:p>
            <w:pPr>
              <w:jc w:val="center"/>
              <w:ind w:right="2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3"/>
              <w:spacing w:after="0"/>
              <w:rPr>
                <w:sz w:val="20"/>
                <w:szCs w:val="20"/>
                <w:color w:val="auto"/>
              </w:rPr>
            </w:pPr>
            <w:r>
              <w:rPr>
                <w:rFonts w:ascii="Times New Roman" w:cs="Times New Roman" w:eastAsia="Times New Roman" w:hAnsi="Times New Roman"/>
                <w:sz w:val="12"/>
                <w:szCs w:val="12"/>
                <w:color w:val="0000FF"/>
                <w:w w:val="96"/>
              </w:rPr>
              <w:t>24,614</w:t>
            </w:r>
          </w:p>
        </w:tc>
        <w:tc>
          <w:tcPr>
            <w:tcW w:w="260" w:type="dxa"/>
            <w:vAlign w:val="bottom"/>
          </w:tcPr>
          <w:p>
            <w:pPr>
              <w:spacing w:after="0"/>
              <w:rPr>
                <w:sz w:val="11"/>
                <w:szCs w:val="11"/>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LTIP</w:t>
            </w:r>
          </w:p>
        </w:tc>
        <w:tc>
          <w:tcPr>
            <w:tcW w:w="7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25"/>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008000"/>
                <w:w w:val="94"/>
              </w:rPr>
              <w:t>(1)(2)</w:t>
            </w:r>
          </w:p>
        </w:tc>
        <w:tc>
          <w:tcPr>
            <w:tcW w:w="56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4,988,263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4,988,263</w:t>
            </w:r>
          </w:p>
        </w:tc>
        <w:tc>
          <w:tcPr>
            <w:tcW w:w="68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60"/>
              <w:spacing w:after="0" w:line="135" w:lineRule="exact"/>
              <w:rPr>
                <w:sz w:val="20"/>
                <w:szCs w:val="20"/>
                <w:color w:val="auto"/>
              </w:rPr>
            </w:pPr>
            <w:r>
              <w:rPr>
                <w:rFonts w:ascii="Times New Roman" w:cs="Times New Roman" w:eastAsia="Times New Roman" w:hAnsi="Times New Roman"/>
                <w:sz w:val="12"/>
                <w:szCs w:val="12"/>
                <w:color w:val="0000FF"/>
              </w:rPr>
              <w:t>Units</w:t>
            </w:r>
          </w:p>
        </w:tc>
        <w:tc>
          <w:tcPr>
            <w:tcW w:w="7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1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-2121535</wp:posOffset>
            </wp:positionV>
            <wp:extent cx="28575" cy="212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272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right="300" w:hanging="5"/>
        <w:spacing w:after="0" w:line="271"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common units of limited partnership interest ("Common Units") in AH Realty Trust, LP (the "Operating Partnership"), the operating partnership of AH Realty Trust, Inc. (the "Company"), and of which the Company is the general partner.</w:t>
      </w:r>
    </w:p>
    <w:p>
      <w:pPr>
        <w:spacing w:after="0" w:line="7" w:lineRule="exact"/>
        <w:rPr>
          <w:rFonts w:ascii="Times New Roman" w:cs="Times New Roman" w:eastAsia="Times New Roman" w:hAnsi="Times New Roman"/>
          <w:sz w:val="12"/>
          <w:szCs w:val="12"/>
          <w:color w:val="008000"/>
        </w:rPr>
      </w:pPr>
    </w:p>
    <w:p>
      <w:pPr>
        <w:ind w:left="40" w:right="260" w:hanging="5"/>
        <w:spacing w:after="0" w:line="271"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Common Unit is redeemable for cash equal to the then-current market value of one share of the Company's common stock or, at the election of the Company, one share of the Company's common stock. Common Units have no expiration date.</w:t>
      </w:r>
    </w:p>
    <w:p>
      <w:pPr>
        <w:spacing w:after="0" w:line="7"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redemption of Common Units by the Operating Partnership for cash.</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Mr. Hoffler's pecuniary interest in Common Units held by a limited partnership.</w:t>
      </w:r>
    </w:p>
    <w:p>
      <w:pPr>
        <w:spacing w:after="0" w:line="45" w:lineRule="exact"/>
        <w:rPr>
          <w:rFonts w:ascii="Times New Roman" w:cs="Times New Roman" w:eastAsia="Times New Roman" w:hAnsi="Times New Roman"/>
          <w:sz w:val="12"/>
          <w:szCs w:val="12"/>
          <w:color w:val="008000"/>
        </w:rPr>
      </w:pPr>
    </w:p>
    <w:p>
      <w:pPr>
        <w:ind w:left="40" w:right="180" w:hanging="5"/>
        <w:spacing w:after="0" w:line="246"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Time-Based LTIP Units in the Operating Partnership ("Time-Based LTIP Units"). Under the agreement of limited partnership of the Operating Partnership (the "OP Agreement") and subject to conditions set forth in the OP Agreement, following the date on which the Time-Based LTIP Units vest, Time-Based LTIP Units are convertible into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p>
      <w:pPr>
        <w:spacing w:after="0" w:line="22"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unvested Time-Based LTIP Units, all of which will vest on the date of the Company's 2027 Annual Meeting of Stockholders.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T. Barnes-Smith,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-6985</wp:posOffset>
            </wp:positionV>
            <wp:extent cx="1302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Daniel A.</w:t>
      </w:r>
      <w:r>
        <w:rPr>
          <w:sz w:val="20"/>
          <w:szCs w:val="20"/>
          <w:color w:val="auto"/>
        </w:rPr>
        <w:tab/>
      </w:r>
      <w:r>
        <w:rPr>
          <w:rFonts w:ascii="Times New Roman" w:cs="Times New Roman" w:eastAsia="Times New Roman" w:hAnsi="Times New Roman"/>
          <w:sz w:val="15"/>
          <w:szCs w:val="15"/>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624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24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Hoffler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959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5910" cy="7620"/>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1710"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2026-06-22T17:16:17Z</dcterms:created>
  <dcterms:modified xsi:type="dcterms:W3CDTF">2026-06-22T17:16:17Z</dcterms:modified>
</cp:coreProperties>
</file>