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5"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-575310</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4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4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OMB Number:</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4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3956050</wp:posOffset>
            </wp:positionH>
            <wp:positionV relativeFrom="paragraph">
              <wp:posOffset>-620395</wp:posOffset>
            </wp:positionV>
            <wp:extent cx="57785" cy="633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735965</wp:posOffset>
            </wp:positionV>
            <wp:extent cx="7047230" cy="4877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877435"/>
                    </a:xfrm>
                    <a:prstGeom prst="rect">
                      <a:avLst/>
                    </a:prstGeom>
                    <a:noFill/>
                  </pic:spPr>
                </pic:pic>
              </a:graphicData>
            </a:graphic>
          </wp:anchor>
        </w:drawing>
      </w:r>
    </w:p>
    <w:p>
      <w:pPr>
        <w:spacing w:after="0" w:line="121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Wimbush Frederick Blair</w:t>
        </w:r>
      </w:hyperlink>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20" w:type="dxa"/>
            <w:vAlign w:val="bottom"/>
          </w:tcPr>
          <w:p>
            <w:pPr>
              <w:ind w:left="40"/>
              <w:spacing w:after="0"/>
              <w:rPr>
                <w:sz w:val="20"/>
                <w:szCs w:val="20"/>
                <w:color w:val="auto"/>
              </w:rPr>
            </w:pPr>
            <w:r>
              <w:rPr>
                <w:rFonts w:ascii="Arial" w:cs="Arial" w:eastAsia="Arial" w:hAnsi="Arial"/>
                <w:sz w:val="13"/>
                <w:szCs w:val="13"/>
                <w:color w:val="auto"/>
              </w:rPr>
              <w:t>(Last)</w:t>
            </w:r>
          </w:p>
        </w:tc>
        <w:tc>
          <w:tcPr>
            <w:tcW w:w="1340" w:type="dxa"/>
            <w:vAlign w:val="bottom"/>
          </w:tcPr>
          <w:p>
            <w:pPr>
              <w:ind w:left="240"/>
              <w:spacing w:after="0"/>
              <w:rPr>
                <w:sz w:val="20"/>
                <w:szCs w:val="20"/>
                <w:color w:val="auto"/>
              </w:rPr>
            </w:pPr>
            <w:r>
              <w:rPr>
                <w:rFonts w:ascii="Arial" w:cs="Arial" w:eastAsia="Arial" w:hAnsi="Arial"/>
                <w:sz w:val="13"/>
                <w:szCs w:val="13"/>
                <w:color w:val="auto"/>
              </w:rPr>
              <w:t>(First)</w:t>
            </w:r>
          </w:p>
        </w:tc>
        <w:tc>
          <w:tcPr>
            <w:tcW w:w="580" w:type="dxa"/>
            <w:vAlign w:val="bottom"/>
          </w:tcPr>
          <w:p>
            <w:pPr>
              <w:ind w:left="120"/>
              <w:spacing w:after="0"/>
              <w:rPr>
                <w:sz w:val="20"/>
                <w:szCs w:val="20"/>
                <w:color w:val="auto"/>
              </w:rPr>
            </w:pPr>
            <w:r>
              <w:rPr>
                <w:rFonts w:ascii="Arial" w:cs="Arial" w:eastAsia="Arial" w:hAnsi="Arial"/>
                <w:sz w:val="13"/>
                <w:szCs w:val="13"/>
                <w:color w:val="auto"/>
                <w:w w:val="93"/>
              </w:rPr>
              <w:t>(Middle)</w:t>
            </w:r>
          </w:p>
        </w:tc>
        <w:tc>
          <w:tcPr>
            <w:tcW w:w="0" w:type="dxa"/>
            <w:vAlign w:val="bottom"/>
          </w:tcPr>
          <w:p>
            <w:pPr>
              <w:spacing w:after="0"/>
              <w:rPr>
                <w:sz w:val="1"/>
                <w:szCs w:val="1"/>
                <w:color w:val="auto"/>
              </w:rPr>
            </w:pPr>
          </w:p>
        </w:tc>
      </w:tr>
      <w:tr>
        <w:trPr>
          <w:trHeight w:val="266"/>
        </w:trPr>
        <w:tc>
          <w:tcPr>
            <w:tcW w:w="23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C/O AH REALTY TRUST, INC.</w:t>
            </w: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3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4605 COLUMBUS STREET</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4"/>
        </w:trPr>
        <w:tc>
          <w:tcPr>
            <w:tcW w:w="1020" w:type="dxa"/>
            <w:vAlign w:val="bottom"/>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VIRGINIA</w:t>
            </w:r>
          </w:p>
        </w:tc>
        <w:tc>
          <w:tcPr>
            <w:tcW w:w="134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VA</w:t>
            </w: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23462</w:t>
            </w:r>
          </w:p>
        </w:tc>
        <w:tc>
          <w:tcPr>
            <w:tcW w:w="0" w:type="dxa"/>
            <w:vAlign w:val="bottom"/>
          </w:tcPr>
          <w:p>
            <w:pPr>
              <w:spacing w:after="0"/>
              <w:rPr>
                <w:sz w:val="1"/>
                <w:szCs w:val="1"/>
                <w:color w:val="auto"/>
              </w:rPr>
            </w:pPr>
          </w:p>
        </w:tc>
      </w:tr>
      <w:tr>
        <w:trPr>
          <w:trHeight w:val="114"/>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BEACH</w:t>
            </w:r>
          </w:p>
        </w:tc>
        <w:tc>
          <w:tcPr>
            <w:tcW w:w="134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02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AH Realty Trust,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AHRT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40" w:type="dxa"/>
            <w:vAlign w:val="bottom"/>
            <w:tcBorders>
              <w:bottom w:val="single" w:sz="8" w:color="0000EE"/>
            </w:tcBorders>
          </w:tcPr>
          <w:p>
            <w:pPr>
              <w:spacing w:after="0"/>
              <w:rPr>
                <w:sz w:val="3"/>
                <w:szCs w:val="3"/>
                <w:color w:val="auto"/>
              </w:rPr>
            </w:pPr>
          </w:p>
        </w:tc>
        <w:tc>
          <w:tcPr>
            <w:tcW w:w="2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640" w:type="dxa"/>
            <w:vAlign w:val="bottom"/>
            <w:tcBorders>
              <w:bottom w:val="single" w:sz="8" w:color="2C2C2C"/>
            </w:tcBorders>
          </w:tcPr>
          <w:p>
            <w:pPr>
              <w:spacing w:after="0"/>
              <w:rPr>
                <w:sz w:val="14"/>
                <w:szCs w:val="14"/>
                <w:color w:val="auto"/>
              </w:rPr>
            </w:pPr>
          </w:p>
        </w:tc>
        <w:tc>
          <w:tcPr>
            <w:tcW w:w="2000" w:type="dxa"/>
            <w:vAlign w:val="bottom"/>
            <w:tcBorders>
              <w:bottom w:val="single" w:sz="8" w:color="2C2C2C"/>
            </w:tcBorders>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7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6"/>
        </w:trPr>
        <w:tc>
          <w:tcPr>
            <w:tcW w:w="18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06/17/2026</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6"/>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spacing w:after="0" w:line="4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82"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12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2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0000FF"/>
              </w:rPr>
              <w:t>42,030.627</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3, 4 and 5)</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Time-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Based</w:t>
            </w:r>
          </w:p>
        </w:tc>
        <w:tc>
          <w:tcPr>
            <w:tcW w:w="76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(1)(2)</w:t>
            </w:r>
          </w:p>
        </w:tc>
        <w:tc>
          <w:tcPr>
            <w:tcW w:w="106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06/17/2026</w:t>
            </w:r>
          </w:p>
        </w:tc>
        <w:tc>
          <w:tcPr>
            <w:tcW w:w="110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Pr>
          <w:p>
            <w:pPr>
              <w:ind w:left="100"/>
              <w:spacing w:after="0" w:line="205" w:lineRule="exact"/>
              <w:rPr>
                <w:sz w:val="20"/>
                <w:szCs w:val="20"/>
                <w:color w:val="auto"/>
              </w:rPr>
            </w:pPr>
            <w:r>
              <w:rPr>
                <w:rFonts w:ascii="Times New Roman" w:cs="Times New Roman" w:eastAsia="Times New Roman" w:hAnsi="Times New Roman"/>
                <w:sz w:val="13"/>
                <w:szCs w:val="13"/>
                <w:color w:val="0000FF"/>
              </w:rPr>
              <w:t>11,695</w:t>
            </w:r>
            <w:r>
              <w:rPr>
                <w:rFonts w:ascii="Times New Roman" w:cs="Times New Roman" w:eastAsia="Times New Roman" w:hAnsi="Times New Roman"/>
                <w:sz w:val="21"/>
                <w:szCs w:val="21"/>
                <w:color w:val="008000"/>
                <w:vertAlign w:val="superscript"/>
              </w:rPr>
              <w:t>(3)</w:t>
            </w:r>
          </w:p>
        </w:tc>
        <w:tc>
          <w:tcPr>
            <w:tcW w:w="300" w:type="dxa"/>
            <w:vAlign w:val="bottom"/>
          </w:tcPr>
          <w:p>
            <w:pPr>
              <w:spacing w:after="0"/>
              <w:rPr>
                <w:sz w:val="17"/>
                <w:szCs w:val="17"/>
                <w:color w:val="auto"/>
              </w:rPr>
            </w:pP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008000"/>
              </w:rPr>
              <w:t>(1)(2)</w:t>
            </w:r>
          </w:p>
        </w:tc>
        <w:tc>
          <w:tcPr>
            <w:tcW w:w="640" w:type="dxa"/>
            <w:vAlign w:val="bottom"/>
          </w:tcPr>
          <w:p>
            <w:pPr>
              <w:ind w:left="160"/>
              <w:spacing w:after="0"/>
              <w:rPr>
                <w:sz w:val="20"/>
                <w:szCs w:val="20"/>
                <w:color w:val="auto"/>
              </w:rPr>
            </w:pPr>
            <w:r>
              <w:rPr>
                <w:rFonts w:ascii="Times New Roman" w:cs="Times New Roman" w:eastAsia="Times New Roman" w:hAnsi="Times New Roman"/>
                <w:sz w:val="11"/>
                <w:szCs w:val="11"/>
                <w:color w:val="008000"/>
              </w:rPr>
              <w:t>(1)(2)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11,695</w:t>
            </w:r>
          </w:p>
        </w:tc>
        <w:tc>
          <w:tcPr>
            <w:tcW w:w="74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89"/>
              </w:rPr>
              <w:t>24,614</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LTIP</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140" w:firstLine="1"/>
        <w:spacing w:after="0" w:line="233"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Time-Based LTIP Units ("Time-Based LTIP Units") in AH Realty Trust, LP (the "Operating Partnership"), the operating partnership of AH Realty Trust, Inc. (the "Company"), and of which the Company is the general partner. Under the agreement of limited partnership of the Operating Partnership (the "OP Agreement") and subject to conditions set forth in the OP Agreement, following the date on which the Time-Based LTIP Units vest, Time-Based LTIP Units are convertible into common units of limited partnership interest in the Operating Partnership ("Common Units"), at the holder's option. Under the award agreement pursuant to which the Time-Based LTIP Units were granted to the reporting person, except in connection with a Change of Control (as defined in the OP Agreement), the Time-Based LTIP Units may not be converted to Common Units until two years following the date of grant. Time-Based LTIP Units have no expiration date.</w:t>
      </w:r>
    </w:p>
    <w:p>
      <w:pPr>
        <w:spacing w:after="0" w:line="28" w:lineRule="exact"/>
        <w:rPr>
          <w:rFonts w:ascii="Times New Roman" w:cs="Times New Roman" w:eastAsia="Times New Roman" w:hAnsi="Times New Roman"/>
          <w:sz w:val="13"/>
          <w:szCs w:val="13"/>
          <w:color w:val="008000"/>
        </w:rPr>
      </w:pPr>
    </w:p>
    <w:p>
      <w:pPr>
        <w:ind w:left="40" w:right="320" w:firstLine="1"/>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Common Unit is redeemable for cash equal to the then-current market value of one share of the Company's common stock or, at the election of the Company, one share of the Company's common stock. Common Units have no expiration date.</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unvested Time-Based LTIP Units, all of which will vest on the date of the Company's 2027 Annual Meeting of Stockholders.</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Matthew T. Barnes-Smith,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-10160</wp:posOffset>
            </wp:positionV>
            <wp:extent cx="13569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spacing w:after="0" w:line="1"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F. Blair</w:t>
      </w:r>
      <w:r>
        <w:rPr>
          <w:sz w:val="20"/>
          <w:szCs w:val="20"/>
          <w:color w:val="auto"/>
        </w:rPr>
        <w:tab/>
      </w:r>
      <w:r>
        <w:rPr>
          <w:rFonts w:ascii="Times New Roman" w:cs="Times New Roman" w:eastAsia="Times New Roman" w:hAnsi="Times New Roman"/>
          <w:sz w:val="16"/>
          <w:szCs w:val="16"/>
          <w:color w:val="0000FF"/>
        </w:rPr>
        <w:t>06/22/2026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-17145</wp:posOffset>
            </wp:positionV>
            <wp:extent cx="1875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Wimbush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-17145</wp:posOffset>
            </wp:positionV>
            <wp:extent cx="4057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05765" cy="8255"/>
                    </a:xfrm>
                    <a:prstGeom prst="rect">
                      <a:avLst/>
                    </a:prstGeom>
                    <a:noFill/>
                  </pic:spPr>
                </pic:pic>
              </a:graphicData>
            </a:graphic>
          </wp:anchor>
        </w:drawing>
      </w:r>
    </w:p>
    <w:p>
      <w:pPr>
        <w:spacing w:after="0" w:line="29"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45407" TargetMode="External"/><Relationship Id="rId14" Type="http://schemas.openxmlformats.org/officeDocument/2006/relationships/hyperlink" Target="http://www.sec.gov/cgi-bin/browse-edgar?action=getcompany&amp;CIK=00015691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2026-06-22T17:07:47Z</dcterms:created>
  <dcterms:modified xsi:type="dcterms:W3CDTF">2026-06-22T17:07:47Z</dcterms:modified>
</cp:coreProperties>
</file>